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31E" w:rsidRDefault="00986841" w:rsidP="009868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684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IRLJ 3.3  </w:t>
      </w:r>
    </w:p>
    <w:p w:rsidR="00986841" w:rsidRPr="00986841" w:rsidRDefault="00986841" w:rsidP="009868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684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PROCEDURE AT CONTESTED HEARING</w:t>
      </w:r>
    </w:p>
    <w:p w:rsidR="00986841" w:rsidRPr="00986841" w:rsidRDefault="00986841" w:rsidP="009868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F331E" w:rsidRPr="006F331E" w:rsidRDefault="00986841" w:rsidP="006F33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684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(a)</w:t>
      </w:r>
      <w:proofErr w:type="gramStart"/>
      <w:r w:rsidR="006F331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-(</w:t>
      </w:r>
      <w:proofErr w:type="gramEnd"/>
      <w:r w:rsidR="006F331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d)</w:t>
      </w:r>
      <w:r w:rsidR="006F331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[Unchanged.]</w:t>
      </w:r>
    </w:p>
    <w:p w:rsidR="00986841" w:rsidRPr="00986841" w:rsidRDefault="00986841" w:rsidP="009868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86841" w:rsidRPr="00986841" w:rsidRDefault="00986841" w:rsidP="009868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684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(e) Disposition</w:t>
      </w:r>
      <w:r w:rsidRPr="0098684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 If the court determines that the infraction has been committed, it may assess a monetary penalty against the defendant </w:t>
      </w:r>
      <w:r w:rsidRPr="00986841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and, in a traffic infraction case, only after determining the defendant’s ability to pay in accordance with IRLJ 3.5</w:t>
      </w:r>
      <w:r w:rsidRPr="006F331E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A73EC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98684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The monetary penalty assessed may not exceed the monetary penalty provided for the infraction by law. The court may waive or suspend a portion of the monetary penalty, or provide for time payments, or in lieu of monetary payment provide for the performance of community restitution as provided by law </w:t>
      </w:r>
      <w:r w:rsidRPr="00986841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and, in a traffic infraction case, in accordance with the procedures set forth in IRLJ 3.5</w:t>
      </w:r>
      <w:r w:rsidRPr="006F331E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A73EC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986841">
        <w:rPr>
          <w:rFonts w:ascii="Times New Roman" w:eastAsia="Times New Roman" w:hAnsi="Times New Roman" w:cs="Times New Roman"/>
          <w:sz w:val="24"/>
          <w:szCs w:val="24"/>
          <w:lang w:bidi="en-US"/>
        </w:rPr>
        <w:t>The court has continuing jurisdiction and authority to supervise disposition f</w:t>
      </w:r>
      <w:r w:rsidR="00A73EC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or not more than one (1) year. </w:t>
      </w:r>
      <w:bookmarkStart w:id="0" w:name="_GoBack"/>
      <w:bookmarkEnd w:id="0"/>
      <w:r w:rsidRPr="00986841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A defendant may request relief in accordance with IRLJ 3.5 at any time</w:t>
      </w:r>
      <w:r w:rsidRPr="006F331E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.</w:t>
      </w:r>
    </w:p>
    <w:p w:rsidR="00986841" w:rsidRPr="00986841" w:rsidRDefault="00986841" w:rsidP="009868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sectPr w:rsidR="00986841" w:rsidRPr="00986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41"/>
    <w:rsid w:val="00671BAA"/>
    <w:rsid w:val="006F331E"/>
    <w:rsid w:val="00986841"/>
    <w:rsid w:val="00A7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3B933-C68C-4341-930D-0F3D5246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Hummel, Leslie</dc:creator>
  <cp:keywords/>
  <dc:description/>
  <cp:lastModifiedBy>Hummel, Leslie</cp:lastModifiedBy>
  <cp:revision>3</cp:revision>
  <dcterms:created xsi:type="dcterms:W3CDTF">2022-05-04T22:22:00Z</dcterms:created>
  <dcterms:modified xsi:type="dcterms:W3CDTF">2022-05-11T22:37:00Z</dcterms:modified>
</cp:coreProperties>
</file>